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F15" w14:textId="77777777" w:rsidR="00884A3B" w:rsidRPr="00A97010" w:rsidRDefault="00035721" w:rsidP="00F91465">
      <w:pPr>
        <w:pBdr>
          <w:bottom w:val="single" w:sz="12" w:space="1" w:color="auto"/>
        </w:pBdr>
        <w:tabs>
          <w:tab w:val="left" w:pos="2513"/>
        </w:tabs>
        <w:spacing w:line="360" w:lineRule="auto"/>
        <w:jc w:val="center"/>
        <w:rPr>
          <w:rFonts w:ascii="Agency FB" w:hAnsi="Agency FB"/>
          <w:bCs/>
          <w:sz w:val="40"/>
          <w:szCs w:val="40"/>
        </w:rPr>
      </w:pPr>
      <w:r>
        <w:rPr>
          <w:rFonts w:ascii="Agency FB" w:hAnsi="Agency FB"/>
          <w:bCs/>
          <w:noProof/>
          <w:sz w:val="40"/>
          <w:szCs w:val="40"/>
        </w:rPr>
        <w:drawing>
          <wp:inline distT="0" distB="0" distL="0" distR="0" wp14:anchorId="0B8DCF79" wp14:editId="0B8DCF7A">
            <wp:extent cx="1897380" cy="609600"/>
            <wp:effectExtent l="19050" t="0" r="7620" b="0"/>
            <wp:docPr id="1" name="Picture 0" descr="218321_logo_final (3(640x2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321_logo_final (3(640x206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CF16" w14:textId="77777777" w:rsidR="00884A3B" w:rsidRPr="00A97010" w:rsidRDefault="002E0424" w:rsidP="00F91465">
      <w:pPr>
        <w:tabs>
          <w:tab w:val="left" w:pos="2513"/>
        </w:tabs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A9701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Table of Fees for Services</w:t>
      </w:r>
    </w:p>
    <w:p w14:paraId="0B8DCF17" w14:textId="77777777" w:rsidR="00884A3B" w:rsidRPr="00A97010" w:rsidRDefault="002E0424" w:rsidP="00F91465">
      <w:pPr>
        <w:pStyle w:val="NoSpacing"/>
      </w:pPr>
      <w:r w:rsidRPr="00A97010">
        <w:t>Carefully read Item 4 and Item 5 of Form ADV Part 2A (“Brochure”)</w:t>
      </w:r>
      <w:r w:rsidR="00121497">
        <w:t>, as these sections of the Brochure contain important</w:t>
      </w:r>
      <w:r w:rsidRPr="00A97010">
        <w:t xml:space="preserve"> details </w:t>
      </w:r>
      <w:r w:rsidR="00121497">
        <w:t>about</w:t>
      </w:r>
      <w:r w:rsidR="00121497" w:rsidRPr="00A97010">
        <w:t xml:space="preserve"> </w:t>
      </w:r>
      <w:r w:rsidR="00035721">
        <w:t xml:space="preserve">ADC’s </w:t>
      </w:r>
      <w:r w:rsidRPr="00A97010">
        <w:t xml:space="preserve">advisory services and fees. Fees </w:t>
      </w:r>
      <w:r w:rsidR="00035721">
        <w:t>may be</w:t>
      </w:r>
      <w:r w:rsidRPr="00A97010">
        <w:t xml:space="preserve"> negotiable. </w:t>
      </w:r>
      <w:r w:rsidR="00121497">
        <w:t xml:space="preserve">The fees below will only apply to you when you request the services listed. </w:t>
      </w:r>
    </w:p>
    <w:p w14:paraId="0B8DCF18" w14:textId="77777777" w:rsidR="00884A3B" w:rsidRPr="00A97010" w:rsidRDefault="00884A3B" w:rsidP="00F91465">
      <w:pPr>
        <w:pStyle w:val="NoSpacing"/>
        <w:rPr>
          <w:rFonts w:ascii="Agency FB" w:hAnsi="Agency FB"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118"/>
        <w:tblW w:w="10937" w:type="dxa"/>
        <w:tblLook w:val="04A0" w:firstRow="1" w:lastRow="0" w:firstColumn="1" w:lastColumn="0" w:noHBand="0" w:noVBand="1"/>
      </w:tblPr>
      <w:tblGrid>
        <w:gridCol w:w="3258"/>
        <w:gridCol w:w="3136"/>
        <w:gridCol w:w="2391"/>
        <w:gridCol w:w="2152"/>
      </w:tblGrid>
      <w:tr w:rsidR="008F78AD" w14:paraId="0B8DCF1E" w14:textId="77777777" w:rsidTr="00CA4B38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19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Fees Charged by </w:t>
            </w:r>
          </w:p>
          <w:p w14:paraId="0B8DCF1A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Investment Adviser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1B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Fee Amount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1C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Frequency Fee is Charged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1D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Services</w:t>
            </w:r>
          </w:p>
        </w:tc>
      </w:tr>
      <w:tr w:rsidR="008F78AD" w14:paraId="0B8DCF23" w14:textId="77777777" w:rsidTr="00CA4B38">
        <w:trPr>
          <w:trHeight w:val="46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1F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Assets Under Management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CF20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1.25% Annual Fee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CF21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Quarterly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2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Investment Supervisory Service Fees</w:t>
            </w:r>
          </w:p>
        </w:tc>
      </w:tr>
      <w:tr w:rsidR="008F78AD" w14:paraId="0B8DCF28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24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Hourly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5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6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7" w14:textId="77777777" w:rsidR="00884A3B" w:rsidRPr="00A97010" w:rsidRDefault="00E15502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8F78AD" w14:paraId="0B8DCF2D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29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Subscription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A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B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C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14:paraId="0B8DCF32" w14:textId="77777777" w:rsidTr="00CA4B38">
        <w:trPr>
          <w:trHeight w:val="244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2E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Fixed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2F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0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1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14:paraId="0B8DCF37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33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Commissions to the Adviser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4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5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6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14:paraId="0B8DCF3C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38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Performance-based Fee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9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A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B" w14:textId="77777777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F78AD" w14:paraId="0B8DCF41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3D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E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3F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Annually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F40" w14:textId="77777777" w:rsidR="00884A3B" w:rsidRPr="00A97010" w:rsidRDefault="00AD157A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Financial Planning</w:t>
            </w:r>
          </w:p>
        </w:tc>
      </w:tr>
      <w:tr w:rsidR="008F78AD" w14:paraId="0B8DCF46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42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Fees Charged by Third Parties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43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Fee Amount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44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Frequency Fee is Charged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8DCF45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8F78AD" w14:paraId="0B8DCF4B" w14:textId="77777777" w:rsidTr="00CA4B38">
        <w:trPr>
          <w:trHeight w:val="271"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F47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Third Party Money Manager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8" w14:textId="34EF58FB" w:rsidR="00884A3B" w:rsidRPr="00A97010" w:rsidRDefault="004F79DF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9" w14:textId="25795B36" w:rsidR="00884A3B" w:rsidRPr="00A97010" w:rsidRDefault="004F79DF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A" w14:textId="31CA784C" w:rsidR="00884A3B" w:rsidRPr="00A97010" w:rsidRDefault="004F79DF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8F78AD" w14:paraId="0B8DCF50" w14:textId="77777777" w:rsidTr="00CA4B38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F4C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Robo-Adviser Fee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D" w14:textId="168BE9C1" w:rsidR="00884A3B" w:rsidRPr="00A97010" w:rsidRDefault="00884A3B" w:rsidP="00884A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$0                 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E" w14:textId="07905CCE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4F" w14:textId="6CCC7138" w:rsidR="00884A3B" w:rsidRPr="00A97010" w:rsidRDefault="00884A3B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165582" w14:paraId="0B8DCF52" w14:textId="77777777" w:rsidTr="003C76B3">
        <w:trPr>
          <w:trHeight w:val="271"/>
        </w:trPr>
        <w:tc>
          <w:tcPr>
            <w:tcW w:w="109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14:paraId="0B8DCF51" w14:textId="77777777" w:rsidR="00165582" w:rsidRPr="00A97010" w:rsidRDefault="00165582" w:rsidP="00AD15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Talk with </w:t>
            </w:r>
            <w:r w:rsidR="00AD15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ADC Wealth Management</w:t>
            </w:r>
            <w:r w:rsidRPr="00A970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about fees and costs applicable to you</w:t>
            </w:r>
          </w:p>
        </w:tc>
      </w:tr>
    </w:tbl>
    <w:p w14:paraId="0B8DCF53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tbl>
      <w:tblPr>
        <w:tblpPr w:leftFromText="180" w:rightFromText="180" w:vertAnchor="text" w:horzAnchor="page" w:tblpX="689" w:tblpY="70"/>
        <w:tblW w:w="6750" w:type="dxa"/>
        <w:tblLook w:val="04A0" w:firstRow="1" w:lastRow="0" w:firstColumn="1" w:lastColumn="0" w:noHBand="0" w:noVBand="1"/>
      </w:tblPr>
      <w:tblGrid>
        <w:gridCol w:w="3330"/>
        <w:gridCol w:w="1170"/>
        <w:gridCol w:w="2250"/>
      </w:tblGrid>
      <w:tr w:rsidR="008F78AD" w14:paraId="0B8DCF56" w14:textId="77777777" w:rsidTr="00CA4B38">
        <w:trPr>
          <w:trHeight w:val="300"/>
        </w:trPr>
        <w:tc>
          <w:tcPr>
            <w:tcW w:w="6750" w:type="dxa"/>
            <w:gridSpan w:val="3"/>
            <w:shd w:val="clear" w:color="auto" w:fill="auto"/>
            <w:noWrap/>
            <w:vAlign w:val="bottom"/>
            <w:hideMark/>
          </w:tcPr>
          <w:p w14:paraId="0B8DCF54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Additional fees and costs to discuss with your Adviser</w:t>
            </w:r>
          </w:p>
          <w:p w14:paraId="0B8DCF55" w14:textId="77777777" w:rsidR="00884A3B" w:rsidRPr="00A97010" w:rsidRDefault="00884A3B" w:rsidP="00CA4B3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78AD" w14:paraId="0B8DCF5A" w14:textId="77777777" w:rsidTr="00CA4B38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0B8DCF57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Additional Fees/Cost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0B8DCF58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8DCF59" w14:textId="77777777" w:rsidR="00884A3B" w:rsidRPr="00A97010" w:rsidRDefault="002E0424" w:rsidP="00CA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Paid To</w:t>
            </w:r>
          </w:p>
        </w:tc>
      </w:tr>
      <w:tr w:rsidR="008F78AD" w14:paraId="0B8DCF5E" w14:textId="77777777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F5B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Brokerage Fees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5C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CF5D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8F78AD" w14:paraId="0B8DCF62" w14:textId="77777777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F5F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Commissions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0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CF61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8F78AD" w14:paraId="0B8DCF66" w14:textId="77777777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F63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Custodian Fees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4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CF65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Custodian</w:t>
            </w:r>
          </w:p>
        </w:tc>
      </w:tr>
      <w:tr w:rsidR="008F78AD" w14:paraId="0B8DCF6A" w14:textId="77777777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7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Mark-ups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8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CF69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8F78AD" w14:paraId="0B8DCF6F" w14:textId="77777777" w:rsidTr="00CA4B38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B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Mutual Fund/ETF</w:t>
            </w:r>
          </w:p>
          <w:p w14:paraId="0B8DCF6C" w14:textId="77777777" w:rsidR="00884A3B" w:rsidRPr="00A97010" w:rsidRDefault="002E0424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9701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Fees and Expenses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CF6D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CF6E" w14:textId="77777777" w:rsidR="00884A3B" w:rsidRPr="00A97010" w:rsidRDefault="00AD157A" w:rsidP="00CA4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Mutual Fund Company</w:t>
            </w:r>
          </w:p>
        </w:tc>
      </w:tr>
    </w:tbl>
    <w:p w14:paraId="0B8DCF70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1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2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3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4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5" w14:textId="77777777" w:rsidR="00884A3B" w:rsidRPr="00A97010" w:rsidRDefault="00884A3B" w:rsidP="00F91465">
      <w:pPr>
        <w:jc w:val="both"/>
        <w:rPr>
          <w:rFonts w:cs="Times New Roman"/>
          <w:i/>
          <w:sz w:val="20"/>
          <w:szCs w:val="20"/>
        </w:rPr>
      </w:pPr>
    </w:p>
    <w:p w14:paraId="0B8DCF76" w14:textId="77777777" w:rsidR="00884A3B" w:rsidRPr="00A97010" w:rsidRDefault="00884A3B" w:rsidP="00F91465">
      <w:pPr>
        <w:jc w:val="both"/>
        <w:rPr>
          <w:rFonts w:cs="Times New Roman"/>
          <w:sz w:val="20"/>
          <w:szCs w:val="20"/>
        </w:rPr>
      </w:pPr>
    </w:p>
    <w:p w14:paraId="0B8DCF77" w14:textId="77777777" w:rsidR="00884A3B" w:rsidRDefault="00884A3B" w:rsidP="00F91465">
      <w:pPr>
        <w:ind w:left="-990"/>
        <w:jc w:val="both"/>
        <w:rPr>
          <w:rFonts w:cs="Times New Roman"/>
          <w:i/>
          <w:sz w:val="20"/>
          <w:szCs w:val="20"/>
        </w:rPr>
      </w:pPr>
    </w:p>
    <w:p w14:paraId="0B8DCF78" w14:textId="77777777" w:rsidR="00884A3B" w:rsidRDefault="00AD157A" w:rsidP="00F91465">
      <w:pPr>
        <w:ind w:left="-990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 w:rsidR="000024A5">
        <w:rPr>
          <w:rFonts w:cs="Times New Roman"/>
          <w:i/>
          <w:sz w:val="20"/>
          <w:szCs w:val="20"/>
        </w:rPr>
        <w:tab/>
      </w:r>
      <w:r w:rsidR="000024A5"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 w:rsidR="000024A5">
        <w:rPr>
          <w:rFonts w:cs="Times New Roman"/>
          <w:i/>
          <w:sz w:val="20"/>
          <w:szCs w:val="20"/>
        </w:rPr>
        <w:t>January1, 2020</w:t>
      </w:r>
    </w:p>
    <w:sectPr w:rsidR="00F91465" w:rsidSect="002B0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CF7D" w14:textId="77777777" w:rsidR="001F474B" w:rsidRDefault="001F474B">
      <w:pPr>
        <w:spacing w:after="0" w:line="240" w:lineRule="auto"/>
      </w:pPr>
      <w:r>
        <w:separator/>
      </w:r>
    </w:p>
  </w:endnote>
  <w:endnote w:type="continuationSeparator" w:id="0">
    <w:p w14:paraId="0B8DCF7E" w14:textId="77777777" w:rsidR="001F474B" w:rsidRDefault="001F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81" w14:textId="77777777" w:rsidR="00884A3B" w:rsidRDefault="00884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82" w14:textId="77777777" w:rsidR="00884A3B" w:rsidRDefault="00884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84" w14:textId="77777777" w:rsidR="00884A3B" w:rsidRDefault="0088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CF7B" w14:textId="77777777" w:rsidR="001F474B" w:rsidRDefault="001F474B">
      <w:pPr>
        <w:spacing w:after="0" w:line="240" w:lineRule="auto"/>
      </w:pPr>
      <w:r>
        <w:separator/>
      </w:r>
    </w:p>
  </w:footnote>
  <w:footnote w:type="continuationSeparator" w:id="0">
    <w:p w14:paraId="0B8DCF7C" w14:textId="77777777" w:rsidR="001F474B" w:rsidRDefault="001F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7F" w14:textId="77777777" w:rsidR="00884A3B" w:rsidRDefault="00884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80" w14:textId="77777777" w:rsidR="00884A3B" w:rsidRDefault="00884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F83" w14:textId="77777777" w:rsidR="00884A3B" w:rsidRDefault="00884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8AD"/>
    <w:rsid w:val="000024A5"/>
    <w:rsid w:val="00035721"/>
    <w:rsid w:val="00121497"/>
    <w:rsid w:val="00165582"/>
    <w:rsid w:val="001F474B"/>
    <w:rsid w:val="002B0406"/>
    <w:rsid w:val="002E0424"/>
    <w:rsid w:val="0030735E"/>
    <w:rsid w:val="004F79DF"/>
    <w:rsid w:val="00564FCF"/>
    <w:rsid w:val="006E56F4"/>
    <w:rsid w:val="00843B7A"/>
    <w:rsid w:val="00876926"/>
    <w:rsid w:val="00884A3B"/>
    <w:rsid w:val="008F78AD"/>
    <w:rsid w:val="00AD157A"/>
    <w:rsid w:val="00D16CBE"/>
    <w:rsid w:val="00D3669E"/>
    <w:rsid w:val="00DC3545"/>
    <w:rsid w:val="00E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CF15"/>
  <w15:docId w15:val="{7E813717-9C5E-4601-8C8C-5D00BA55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54"/>
  </w:style>
  <w:style w:type="paragraph" w:styleId="Footer">
    <w:name w:val="footer"/>
    <w:basedOn w:val="Normal"/>
    <w:link w:val="FooterChar"/>
    <w:uiPriority w:val="99"/>
    <w:unhideWhenUsed/>
    <w:rsid w:val="0035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54"/>
  </w:style>
  <w:style w:type="character" w:styleId="CommentReference">
    <w:name w:val="annotation reference"/>
    <w:basedOn w:val="DefaultParagraphFont"/>
    <w:uiPriority w:val="99"/>
    <w:semiHidden/>
    <w:unhideWhenUsed/>
    <w:rsid w:val="00D3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Paula Oliveras</cp:lastModifiedBy>
  <cp:revision>3</cp:revision>
  <dcterms:created xsi:type="dcterms:W3CDTF">2024-03-20T19:03:00Z</dcterms:created>
  <dcterms:modified xsi:type="dcterms:W3CDTF">2025-01-17T17:14:00Z</dcterms:modified>
</cp:coreProperties>
</file>